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36" w:lineRule="auto"/>
        <w:jc w:val="center"/>
        <w:rPr>
          <w:rFonts w:ascii="仿宋_GB2312" w:eastAsia="仿宋_GB2312"/>
          <w:sz w:val="28"/>
          <w:szCs w:val="28"/>
        </w:rPr>
      </w:pPr>
      <w:r>
        <w:rPr>
          <w:rFonts w:hint="eastAsia" w:ascii="宋体" w:hAnsi="宋体" w:eastAsia="宋体" w:cs="宋体"/>
          <w:b/>
          <w:bCs/>
          <w:sz w:val="28"/>
          <w:szCs w:val="28"/>
        </w:rPr>
        <w:t>热力学</w:t>
      </w:r>
      <w:r>
        <w:rPr>
          <w:rFonts w:hint="eastAsia" w:ascii="宋体" w:hAnsi="宋体" w:cs="宋体"/>
          <w:b/>
          <w:bCs/>
          <w:sz w:val="28"/>
          <w:szCs w:val="28"/>
          <w:lang w:eastAsia="zh-CN"/>
        </w:rPr>
        <w:t>方法</w:t>
      </w:r>
      <w:r>
        <w:rPr>
          <w:rFonts w:hint="eastAsia" w:ascii="宋体" w:hAnsi="宋体" w:eastAsia="宋体" w:cs="宋体"/>
          <w:b/>
          <w:bCs/>
          <w:sz w:val="28"/>
          <w:szCs w:val="28"/>
        </w:rPr>
        <w:t>概述</w:t>
      </w:r>
      <w:bookmarkStart w:id="0" w:name="_GoBack"/>
      <w:bookmarkEnd w:id="0"/>
    </w:p>
    <w:p>
      <w:pPr>
        <w:spacing w:before="156" w:beforeLines="50" w:line="240" w:lineRule="auto"/>
        <w:ind w:right="31" w:rightChars="15" w:firstLine="422" w:firstLineChars="200"/>
        <w:rPr>
          <w:rFonts w:hint="eastAsia"/>
          <w:b/>
          <w:bCs/>
        </w:rPr>
      </w:pPr>
      <w:r>
        <w:rPr>
          <w:rFonts w:hint="eastAsia"/>
          <w:b/>
          <w:bCs/>
          <w:lang w:eastAsia="zh-CN"/>
        </w:rPr>
        <w:t>一、</w:t>
      </w:r>
      <w:r>
        <w:rPr>
          <w:rFonts w:hint="eastAsia"/>
          <w:b/>
          <w:bCs/>
        </w:rPr>
        <w:t>热力学的研究对象</w:t>
      </w:r>
      <w:r>
        <w:rPr>
          <w:b/>
          <w:bCs/>
        </w:rPr>
        <w:t xml:space="preserve"> </w:t>
      </w:r>
    </w:p>
    <w:p>
      <w:pPr>
        <w:spacing w:before="156" w:beforeLines="50" w:line="240" w:lineRule="auto"/>
        <w:ind w:right="25" w:rightChars="12" w:firstLine="540"/>
      </w:pPr>
      <w:r>
        <w:rPr>
          <w:rFonts w:hint="eastAsia"/>
        </w:rPr>
        <w:t>人们不仅从组成去认识物质，以宏观性质去区分物质，还</w:t>
      </w:r>
      <w:r>
        <w:rPr>
          <w:rFonts w:hint="eastAsia"/>
          <w:color w:val="000000"/>
        </w:rPr>
        <w:t>需</w:t>
      </w:r>
      <w:r>
        <w:rPr>
          <w:rFonts w:hint="eastAsia"/>
        </w:rPr>
        <w:t>从变化去深化对物质的认识。化学工作者要完整考察物质的</w:t>
      </w:r>
      <w:r>
        <w:rPr>
          <w:rFonts w:hint="eastAsia"/>
          <w:color w:val="000000"/>
        </w:rPr>
        <w:t>变化</w:t>
      </w:r>
      <w:r>
        <w:rPr>
          <w:rFonts w:hint="eastAsia"/>
        </w:rPr>
        <w:t>，一般从以下几个方面开展研究：</w:t>
      </w:r>
    </w:p>
    <w:p>
      <w:pPr>
        <w:spacing w:line="240" w:lineRule="auto"/>
        <w:ind w:right="25" w:rightChars="12" w:firstLine="420" w:firstLineChars="200"/>
      </w:pPr>
      <w:r>
        <w:rPr>
          <w:rFonts w:hint="eastAsia"/>
        </w:rPr>
        <w:t>（</w:t>
      </w:r>
      <w:r>
        <w:t>1</w:t>
      </w:r>
      <w:r>
        <w:rPr>
          <w:rFonts w:hint="eastAsia"/>
        </w:rPr>
        <w:t>）在给定条件下，当两种或两种以上物质放在一起时，它们能否发生反应？</w:t>
      </w:r>
    </w:p>
    <w:p>
      <w:pPr>
        <w:spacing w:line="240" w:lineRule="auto"/>
        <w:ind w:right="25" w:rightChars="12" w:firstLine="420" w:firstLineChars="200"/>
      </w:pPr>
      <w:r>
        <w:rPr>
          <w:rFonts w:hint="eastAsia"/>
        </w:rPr>
        <w:t>（</w:t>
      </w:r>
      <w:r>
        <w:t>2</w:t>
      </w:r>
      <w:r>
        <w:rPr>
          <w:rFonts w:hint="eastAsia"/>
        </w:rPr>
        <w:t>）若能发生反应</w:t>
      </w:r>
      <w:r>
        <w:t xml:space="preserve">, </w:t>
      </w:r>
      <w:r>
        <w:rPr>
          <w:rFonts w:hint="eastAsia"/>
        </w:rPr>
        <w:t>过程将伴随怎样的能量变化？</w:t>
      </w:r>
    </w:p>
    <w:p>
      <w:pPr>
        <w:spacing w:line="240" w:lineRule="auto"/>
        <w:ind w:right="25" w:rightChars="12" w:firstLine="420" w:firstLineChars="200"/>
      </w:pPr>
      <w:r>
        <w:rPr>
          <w:rFonts w:hint="eastAsia"/>
        </w:rPr>
        <w:t>（</w:t>
      </w:r>
      <w:r>
        <w:t>3</w:t>
      </w:r>
      <w:r>
        <w:rPr>
          <w:rFonts w:hint="eastAsia"/>
        </w:rPr>
        <w:t>）若能发生反应，它会进行到什么程度，最终产率是多少？</w:t>
      </w:r>
    </w:p>
    <w:p>
      <w:pPr>
        <w:spacing w:line="240" w:lineRule="auto"/>
        <w:ind w:right="25" w:rightChars="12" w:firstLine="420" w:firstLineChars="200"/>
        <w:rPr>
          <w:color w:val="000000"/>
        </w:rPr>
      </w:pPr>
      <w:r>
        <w:rPr>
          <w:rFonts w:hint="eastAsia"/>
        </w:rPr>
        <w:t>（</w:t>
      </w:r>
      <w:r>
        <w:t>4</w:t>
      </w:r>
      <w:r>
        <w:rPr>
          <w:rFonts w:hint="eastAsia"/>
        </w:rPr>
        <w:t>）反应进行的速率如何？</w:t>
      </w:r>
      <w:r>
        <w:rPr>
          <w:rFonts w:hint="eastAsia"/>
          <w:color w:val="000000"/>
        </w:rPr>
        <w:t>影响反应速率的因素有哪些？</w:t>
      </w:r>
    </w:p>
    <w:p>
      <w:pPr>
        <w:spacing w:line="240" w:lineRule="auto"/>
        <w:ind w:right="25" w:rightChars="12" w:firstLine="420" w:firstLineChars="200"/>
      </w:pPr>
      <w:r>
        <w:rPr>
          <w:rFonts w:hint="eastAsia"/>
        </w:rPr>
        <w:t>（</w:t>
      </w:r>
      <w:r>
        <w:t>5</w:t>
      </w:r>
      <w:r>
        <w:rPr>
          <w:rFonts w:hint="eastAsia"/>
        </w:rPr>
        <w:t>）反应进行的机理是怎样的？如何选择最佳的反应温度、压力、浓度等条件？</w:t>
      </w:r>
    </w:p>
    <w:p>
      <w:pPr>
        <w:spacing w:line="240" w:lineRule="auto"/>
        <w:ind w:right="25" w:rightChars="12" w:firstLine="420" w:firstLineChars="200"/>
      </w:pPr>
      <w:r>
        <w:rPr>
          <w:rFonts w:hint="eastAsia"/>
        </w:rPr>
        <w:t>前三个问题属于化学热力学的范畴，其实质是涉及能量转换过程伴随的物质变化或物质变化过程伴随的能量转换这两类问题。在这些过程中涉及一些能表征系统特性的重要物理量，以及这些物理量间的关系和规律性。经大量实验事实和经验总结，人们概括出解决前述两类问题的热力学四个定律，其中热力学第零定律与温度概念在普通物理学课程中已作介绍，本书将介绍热力学第一、第二和第三定律。</w:t>
      </w:r>
    </w:p>
    <w:p>
      <w:pPr>
        <w:spacing w:line="240" w:lineRule="auto"/>
        <w:ind w:right="25" w:rightChars="12" w:firstLine="420" w:firstLineChars="200"/>
      </w:pPr>
      <w:r>
        <w:rPr>
          <w:rFonts w:hint="eastAsia"/>
        </w:rPr>
        <w:t>热力学是以大量分子集合体为研究对象，以实验归纳出的热力学基本定律为基础，讨论平衡系统的宏观性质，从能量转换和物质变化的方向与限度，去深化对物质运动的认识。</w:t>
      </w:r>
    </w:p>
    <w:p>
      <w:pPr>
        <w:spacing w:before="156" w:beforeLines="50" w:line="240" w:lineRule="auto"/>
        <w:ind w:right="25" w:rightChars="12" w:firstLine="422" w:firstLineChars="200"/>
        <w:rPr>
          <w:b/>
          <w:bCs/>
        </w:rPr>
      </w:pPr>
      <w:r>
        <w:rPr>
          <w:rFonts w:hint="eastAsia"/>
          <w:b/>
          <w:lang w:eastAsia="zh-CN"/>
        </w:rPr>
        <w:t>二、</w:t>
      </w:r>
      <w:r>
        <w:rPr>
          <w:rFonts w:hint="eastAsia"/>
          <w:b/>
          <w:bCs/>
        </w:rPr>
        <w:t>热力学方法的特点</w:t>
      </w:r>
      <w:r>
        <w:rPr>
          <w:b/>
          <w:bCs/>
        </w:rPr>
        <w:t xml:space="preserve"> </w:t>
      </w:r>
    </w:p>
    <w:p>
      <w:pPr>
        <w:spacing w:before="156" w:beforeLines="50" w:line="240" w:lineRule="auto"/>
        <w:ind w:right="25" w:rightChars="12"/>
      </w:pPr>
      <w:r>
        <w:t xml:space="preserve">   </w:t>
      </w:r>
      <w:r>
        <w:rPr>
          <w:rFonts w:hint="eastAsia"/>
        </w:rPr>
        <w:t>热力学方法是一种演绎的方法，即运用经验所得的基本定律，借助状态函数的特性，通过严密的逻辑推理，讨论由大量质点构成的集合体为具体对象的宏观性质，所得结论具有统计意义，只反映大量质点的平均行为，不适用于个别质点的行为。</w:t>
      </w:r>
    </w:p>
    <w:p>
      <w:pPr>
        <w:spacing w:line="240" w:lineRule="auto"/>
        <w:ind w:right="25" w:rightChars="12" w:firstLine="420"/>
      </w:pPr>
      <w:r>
        <w:rPr>
          <w:rFonts w:hint="eastAsia"/>
        </w:rPr>
        <w:t>热力学方法的特点是不考虑物质的微观结构和变化的机理，就能指出在给定条件下，过程变化的方向和限度。例如在常温条件下制备</w:t>
      </w:r>
      <w:r>
        <w:rPr>
          <w:rFonts w:hint="eastAsia"/>
          <w:color w:val="000000"/>
        </w:rPr>
        <w:t>苯胺</w:t>
      </w:r>
      <w:r>
        <w:rPr>
          <w:rFonts w:hint="eastAsia"/>
        </w:rPr>
        <w:t>，可设计以下的途径来实现：</w:t>
      </w:r>
    </w:p>
    <w:p>
      <w:pPr>
        <w:spacing w:line="240" w:lineRule="auto"/>
        <w:ind w:right="25" w:rightChars="12" w:firstLine="569" w:firstLineChars="271"/>
        <w:rPr>
          <w:vertAlign w:val="subscript"/>
        </w:rPr>
      </w:pPr>
      <w:r>
        <w:rPr>
          <w:rFonts w:hint="eastAsia"/>
        </w:rPr>
        <w:t>（</w:t>
      </w:r>
      <w:r>
        <w:t>1</w:t>
      </w:r>
      <w:r>
        <w:rPr>
          <w:rFonts w:hint="eastAsia"/>
        </w:rPr>
        <w:t>）</w:t>
      </w:r>
      <w:r>
        <w:rPr>
          <w:position w:val="-12"/>
        </w:rPr>
        <w:object>
          <v:shape id="_x0000_i1025" o:spt="75" type="#_x0000_t75" style="height:18.75pt;width:207pt;" o:ole="t" filled="f" o:preferrelative="t" stroked="f" coordsize="21600,21600">
            <v:path/>
            <v:fill on="f" focussize="0,0"/>
            <v:stroke on="f"/>
            <v:imagedata r:id="rId5" o:title=""/>
            <o:lock v:ext="edit" aspectratio="t"/>
            <w10:wrap type="none"/>
            <w10:anchorlock/>
          </v:shape>
          <o:OLEObject Type="Embed" ProgID="Equation.DSMT4" ShapeID="_x0000_i1025" DrawAspect="Content" ObjectID="_1468075725" r:id="rId4">
            <o:LockedField>false</o:LockedField>
          </o:OLEObject>
        </w:object>
      </w:r>
      <w:r>
        <w:rPr>
          <w:position w:val="-4"/>
          <w:vertAlign w:val="subscript"/>
        </w:rPr>
        <w:object>
          <v:shape id="_x0000_i1026" o:spt="75" type="#_x0000_t75" style="height:14.25pt;width:9pt;" o:ole="t" filled="f" o:preferrelative="t" stroked="f" coordsize="21600,21600">
            <v:path/>
            <v:fill on="f" focussize="0,0"/>
            <v:stroke on="f"/>
            <v:imagedata r:id="rId7" o:title=""/>
            <o:lock v:ext="edit" aspectratio="t"/>
            <w10:wrap type="none"/>
            <w10:anchorlock/>
          </v:shape>
          <o:OLEObject Type="Embed" ProgID="Equation.DSMT4" ShapeID="_x0000_i1026" DrawAspect="Content" ObjectID="_1468075726" r:id="rId6">
            <o:LockedField>false</o:LockedField>
          </o:OLEObject>
        </w:object>
      </w:r>
    </w:p>
    <w:p>
      <w:pPr>
        <w:spacing w:line="240" w:lineRule="auto"/>
        <w:ind w:right="25" w:rightChars="12" w:firstLine="569" w:firstLineChars="271"/>
      </w:pPr>
      <w:r>
        <w:rPr>
          <w:rFonts w:hint="eastAsia"/>
        </w:rPr>
        <w:t>（</w:t>
      </w:r>
      <w:r>
        <w:t>2</w:t>
      </w:r>
      <w:r>
        <w:rPr>
          <w:rFonts w:hint="eastAsia"/>
        </w:rPr>
        <w:t>）</w:t>
      </w:r>
      <w:r>
        <w:rPr>
          <w:color w:val="FF0000"/>
          <w:position w:val="-12"/>
        </w:rPr>
        <w:object>
          <v:shape id="_x0000_i1027" o:spt="75" type="#_x0000_t75" style="height:18.75pt;width:192pt;" o:ole="t" filled="f" o:preferrelative="t" stroked="f" coordsize="21600,21600">
            <v:path/>
            <v:fill on="f" focussize="0,0"/>
            <v:stroke on="f"/>
            <v:imagedata r:id="rId9" o:title=""/>
            <o:lock v:ext="edit" aspectratio="t"/>
            <w10:wrap type="none"/>
            <w10:anchorlock/>
          </v:shape>
          <o:OLEObject Type="Embed" ProgID="Equation.DSMT4" ShapeID="_x0000_i1027" DrawAspect="Content" ObjectID="_1468075727" r:id="rId8">
            <o:LockedField>false</o:LockedField>
          </o:OLEObject>
        </w:object>
      </w:r>
      <w:r>
        <w:t xml:space="preserve"> </w:t>
      </w:r>
    </w:p>
    <w:p>
      <w:pPr>
        <w:spacing w:line="240" w:lineRule="auto"/>
        <w:ind w:right="25" w:rightChars="12" w:firstLine="539" w:firstLineChars="257"/>
      </w:pPr>
      <w:r>
        <w:rPr>
          <w:rFonts w:hint="eastAsia"/>
        </w:rPr>
        <w:t>（</w:t>
      </w:r>
      <w:r>
        <w:rPr>
          <w:rFonts w:hint="eastAsia"/>
          <w:lang w:val="en-US" w:eastAsia="zh-CN"/>
        </w:rPr>
        <w:t>3</w:t>
      </w:r>
      <w:r>
        <w:rPr>
          <w:rFonts w:hint="eastAsia"/>
        </w:rPr>
        <w:t>）</w:t>
      </w:r>
      <w:r>
        <w:t xml:space="preserve"> </w:t>
      </w:r>
      <w:r>
        <w:rPr>
          <w:position w:val="-12"/>
        </w:rPr>
        <w:object>
          <v:shape id="_x0000_i1028" o:spt="75" type="#_x0000_t75" style="height:18.75pt;width:117.7pt;" o:ole="t" filled="f" o:preferrelative="t" stroked="f" coordsize="21600,21600">
            <v:path/>
            <v:fill on="f" focussize="0,0"/>
            <v:stroke on="f"/>
            <v:imagedata r:id="rId11" o:title=""/>
            <o:lock v:ext="edit" aspectratio="t"/>
            <w10:wrap type="none"/>
            <w10:anchorlock/>
          </v:shape>
          <o:OLEObject Type="Embed" ProgID="Equation.DSMT4" ShapeID="_x0000_i1028" DrawAspect="Content" ObjectID="_1468075728" r:id="rId10">
            <o:LockedField>false</o:LockedField>
          </o:OLEObject>
        </w:object>
      </w:r>
    </w:p>
    <w:p>
      <w:pPr>
        <w:spacing w:line="240" w:lineRule="auto"/>
        <w:ind w:firstLine="420" w:firstLineChars="200"/>
      </w:pPr>
      <w:r>
        <w:rPr>
          <w:rFonts w:hint="eastAsia"/>
        </w:rPr>
        <w:t>在常温、常压下，通过热力学的计算能判断反应（</w:t>
      </w:r>
      <w:r>
        <w:t>1</w:t>
      </w:r>
      <w:r>
        <w:rPr>
          <w:rFonts w:hint="eastAsia"/>
        </w:rPr>
        <w:t>）、（</w:t>
      </w:r>
      <w:r>
        <w:t>2</w:t>
      </w:r>
      <w:r>
        <w:rPr>
          <w:rFonts w:hint="eastAsia"/>
        </w:rPr>
        <w:t>）是可以进行的，而反应（</w:t>
      </w:r>
      <w:r>
        <w:t>3</w:t>
      </w:r>
      <w:r>
        <w:rPr>
          <w:rFonts w:hint="eastAsia"/>
        </w:rPr>
        <w:t>）是不能进行的。此外，通过有关热力学计算，还能得出反应的最大限度即理论产率，为挖潜增产提供理论依据，这些都已经被工业生产实践所证实。任何事物都具有两面性，热力学方法的特点具有明显的优越性，也有一定的局限性，它不能回答过程变化发生的具体细节和微观原因以及完成变化所需的时间。总之，它只是解决了过程变化的可能性问题，如何使这种可能性转变为现实性，需要</w:t>
      </w:r>
      <w:r>
        <w:rPr>
          <w:rFonts w:hint="eastAsia"/>
          <w:color w:val="000000"/>
        </w:rPr>
        <w:t>动力学的知识来解决。尽管如此，由于热力学定律有着极其牢固的实验基础，以这些基本定律为基础通过</w:t>
      </w:r>
      <w:r>
        <w:rPr>
          <w:rFonts w:hint="eastAsia"/>
        </w:rPr>
        <w:t>严密的逻辑推理和计算，热力学得出的结论具有高度的普遍性和可靠性，所以热力学成为非常有用的理论工具，对生产实践和科学研究具有重要指导意义。我国著名物理化学家傅鹰先生曾指出：“在量子力学震撼许多科学的时代，热力学的基础仍然稳如泰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6154EB"/>
    <w:rsid w:val="387A6B94"/>
    <w:rsid w:val="4CDA3A07"/>
    <w:rsid w:val="69EA03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kf</dc:creator>
  <cp:lastModifiedBy>kf</cp:lastModifiedBy>
  <dcterms:modified xsi:type="dcterms:W3CDTF">2019-05-26T06:46:56Z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